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60"/>
      </w:pPr>
      <w:r>
        <w:rPr>
          <w:b/>
          <w:color w:val="1F4E78"/>
          <w:sz w:val="32"/>
          <w:szCs w:val="32"/>
        </w:rPr>
        <w:t xml:space="preserve">MEETING SUMMARY</w:t>
      </w:r>
    </w:p>
    <w:p>
      <w:pPr>
        <w:spacing w:after="20"/>
      </w:pPr>
      <w:r>
        <w:rPr>
          <w:b/>
          <w:sz w:val="24"/>
          <w:szCs w:val="24"/>
        </w:rPr>
        <w:t xml:space="preserve">Northstar Studio · Delivery check-in</w:t>
      </w:r>
    </w:p>
    <w:p>
      <w:pPr>
        <w:spacing w:after="260"/>
      </w:pPr>
      <w:r>
        <w:rPr>
          <w:color w:val="666666"/>
          <w:sz w:val="18"/>
          <w:szCs w:val="18"/>
        </w:rPr>
        <w:t xml:space="preserve">12 September 2026  |  Fictional demonstration data</w:t>
      </w:r>
    </w:p>
    <w:p>
      <w:pPr>
        <w:pStyle w:val="Heading1"/>
        <w:spacing w:after="120"/>
      </w:pPr>
      <w:r>
        <w:rPr/>
        <w:t xml:space="preserve">Executive summary</w:t>
      </w:r>
    </w:p>
    <w:p>
      <w:pPr>
        <w:spacing w:after="120"/>
      </w:pPr>
      <w:r>
        <w:rPr/>
        <w:t xml:space="preserve">The team is preparing for a 30 September 2026 launch. Work is focused on the landing page and supplier confirmation. The initial release will remain limited to three products. Packaging is unresolved and requires an owner and deadline at the next meeting.</w:t>
      </w:r>
    </w:p>
    <w:p>
      <w:pPr>
        <w:pStyle w:val="Heading1"/>
        <w:spacing w:after="120"/>
      </w:pPr>
      <w:r>
        <w:rPr/>
        <w:t xml:space="preserve">Key dates</w:t>
      </w:r>
    </w:p>
    <w:p>
      <w:pPr>
        <w:pStyle w:val="ListBullet"/>
        <w:spacing w:after="80"/>
      </w:pPr>
      <w:r>
        <w:t>16 September 2026 — Theo to confirm supplier availability; availability is not yet confirmed.</w:t>
      </w:r>
    </w:p>
    <w:p>
      <w:pPr>
        <w:pStyle w:val="ListBullet"/>
        <w:spacing w:after="80"/>
      </w:pPr>
      <w:r>
        <w:t>18 September 2026 — Maya to complete the landing page draft.</w:t>
      </w:r>
    </w:p>
    <w:p>
      <w:pPr>
        <w:pStyle w:val="ListBullet"/>
        <w:spacing w:after="80"/>
      </w:pPr>
      <w:r>
        <w:t>30 September 2026 — Planned launch date.</w:t>
      </w:r>
    </w:p>
    <w:p>
      <w:pPr>
        <w:pStyle w:val="Heading1"/>
        <w:spacing w:after="120"/>
      </w:pPr>
      <w:r>
        <w:rPr/>
        <w:t xml:space="preserve">Decisions</w:t>
      </w:r>
    </w:p>
    <w:p>
      <w:pPr>
        <w:pStyle w:val="ListBullet"/>
        <w:spacing w:after="80"/>
      </w:pPr>
      <w:r>
        <w:t>Keep the initial release to three products.</w:t>
      </w:r>
    </w:p>
    <w:p>
      <w:pPr>
        <w:pStyle w:val="ListBullet"/>
        <w:spacing w:after="80"/>
      </w:pPr>
      <w:r>
        <w:t>Approve a maximum materials budget of EUR 2,500.00. This is a budget ceiling, not recorded spending.</w:t>
      </w:r>
    </w:p>
    <w:p>
      <w:pPr>
        <w:pStyle w:val="Heading1"/>
        <w:spacing w:after="120"/>
      </w:pPr>
      <w:r>
        <w:rPr/>
        <w:t xml:space="preserve">Open question</w:t>
      </w:r>
    </w:p>
    <w:p>
      <w:pPr>
        <w:spacing w:after="120"/>
      </w:pPr>
      <w:r>
        <w:rPr/>
        <w:t xml:space="preserve">Packaging remains unresolved. No owner or deadline has been assigned; both should be agreed at the next meeting.</w:t>
      </w:r>
    </w:p>
    <w:p>
      <w:pPr>
        <w:pStyle w:val="Heading1"/>
        <w:spacing w:after="120"/>
      </w:pPr>
      <w:r>
        <w:rPr/>
        <w:t xml:space="preserve">Actions</w:t>
      </w:r>
    </w:p>
    <w:tbl>
      <w:tblPr>
        <w:tblStyle w:val="LightShadingAccent1"/>
        <w:tblW w:w="0" w:type="auto"/>
        <w:tblLook w:val="04A0" w:firstRow="1" w:lastRow="0" w:firstColumn="1" w:lastColumn="0" w:noHBand="0" w:noVBand="1"/>
      </w:tblPr>
      <w:tblGrid>
        <w:gridCol w:w="1600"/>
        <w:gridCol w:w="5200"/>
        <w:gridCol w:w="2200"/>
      </w:tblGrid>
      <w:tr>
        <w:tc>
          <w:tcPr>
            <w:tcW w:w="1600" w:type="dxa"/>
            <w:shd w:val="clear" w:color="auto" w:fill="D9EAF7"/>
          </w:tcPr>
          <w:p>
            <w:pPr>
              <w:spacing w:after="40"/>
            </w:pPr>
            <w:r>
              <w:rPr>
                <w:b/>
              </w:rPr>
              <w:t>Owner</w:t>
            </w:r>
          </w:p>
        </w:tc>
        <w:tc>
          <w:tcPr>
            <w:tcW w:w="5200" w:type="dxa"/>
            <w:shd w:val="clear" w:color="auto" w:fill="D9EAF7"/>
          </w:tcPr>
          <w:p>
            <w:pPr>
              <w:spacing w:after="40"/>
            </w:pPr>
            <w:r>
              <w:rPr>
                <w:b/>
              </w:rPr>
              <w:t>Action</w:t>
            </w:r>
          </w:p>
        </w:tc>
        <w:tc>
          <w:tcPr>
            <w:tcW w:w="2200" w:type="dxa"/>
            <w:shd w:val="clear" w:color="auto" w:fill="D9EAF7"/>
          </w:tcPr>
          <w:p>
            <w:pPr>
              <w:spacing w:after="40"/>
            </w:pPr>
            <w:r>
              <w:rPr>
                <w:b/>
              </w:rPr>
              <w:t>Due date</w:t>
            </w:r>
          </w:p>
        </w:tc>
      </w:tr>
      <w:tr>
        <w:tc>
          <w:tcPr>
            <w:tcW w:w="1600" w:type="dxa"/>
          </w:tcPr>
          <w:p>
            <w:pPr>
              <w:spacing w:after="40"/>
            </w:pPr>
            <w:r>
              <w:t>Maya</w:t>
            </w:r>
          </w:p>
        </w:tc>
        <w:tc>
          <w:tcPr>
            <w:tcW w:w="5200" w:type="dxa"/>
          </w:tcPr>
          <w:p>
            <w:pPr>
              <w:spacing w:after="40"/>
            </w:pPr>
            <w:r>
              <w:t>Prepare the landing page draft</w:t>
            </w:r>
          </w:p>
        </w:tc>
        <w:tc>
          <w:tcPr>
            <w:tcW w:w="2200" w:type="dxa"/>
          </w:tcPr>
          <w:p>
            <w:pPr>
              <w:spacing w:after="40"/>
            </w:pPr>
            <w:r>
              <w:t>18 September 2026</w:t>
            </w:r>
          </w:p>
        </w:tc>
      </w:tr>
      <w:tr>
        <w:tc>
          <w:tcPr>
            <w:tcW w:w="1600" w:type="dxa"/>
          </w:tcPr>
          <w:p>
            <w:pPr>
              <w:spacing w:after="40"/>
            </w:pPr>
            <w:r>
              <w:t>Theo</w:t>
            </w:r>
          </w:p>
        </w:tc>
        <w:tc>
          <w:tcPr>
            <w:tcW w:w="5200" w:type="dxa"/>
          </w:tcPr>
          <w:p>
            <w:pPr>
              <w:spacing w:after="40"/>
            </w:pPr>
            <w:r>
              <w:t>Confirm supplier availability</w:t>
            </w:r>
          </w:p>
        </w:tc>
        <w:tc>
          <w:tcPr>
            <w:tcW w:w="2200" w:type="dxa"/>
          </w:tcPr>
          <w:p>
            <w:pPr>
              <w:spacing w:after="40"/>
            </w:pPr>
            <w:r>
              <w:t>16 September 2026</w:t>
            </w:r>
          </w:p>
        </w:tc>
      </w:tr>
      <w:tr>
        <w:tc>
          <w:tcPr>
            <w:tcW w:w="1600" w:type="dxa"/>
          </w:tcPr>
          <w:p>
            <w:pPr>
              <w:spacing w:after="40"/>
            </w:pPr>
            <w:r>
              <w:t>Unknown</w:t>
            </w:r>
          </w:p>
        </w:tc>
        <w:tc>
          <w:tcPr>
            <w:tcW w:w="5200" w:type="dxa"/>
          </w:tcPr>
          <w:p>
            <w:pPr>
              <w:spacing w:after="40"/>
            </w:pPr>
            <w:r>
              <w:t>Resolve packaging and assign responsibility</w:t>
            </w:r>
          </w:p>
        </w:tc>
        <w:tc>
          <w:tcPr>
            <w:tcW w:w="2200" w:type="dxa"/>
          </w:tcPr>
          <w:p>
            <w:pPr>
              <w:spacing w:after="40"/>
            </w:pPr>
            <w:r>
              <w:t>Unknown — discuss at next meeting</w:t>
            </w:r>
          </w:p>
        </w:tc>
      </w:tr>
    </w:tbl>
    <w:p>
      <w:pPr>
        <w:pStyle w:val="Heading1"/>
        <w:spacing w:after="120"/>
      </w:pPr>
      <w:r>
        <w:rPr/>
        <w:t xml:space="preserve">Invoice snapshot</w:t>
      </w:r>
    </w:p>
    <w:tbl>
      <w:tblPr>
        <w:tblStyle w:val="LightShadingAccent1"/>
        <w:tblW w:w="0" w:type="auto"/>
        <w:tblLook w:val="04A0" w:firstRow="1" w:lastRow="0" w:firstColumn="1" w:lastColumn="0" w:noHBand="0" w:noVBand="1"/>
      </w:tblPr>
      <w:tblGrid>
        <w:gridCol w:w="5500"/>
        <w:gridCol w:w="3500"/>
      </w:tblGrid>
      <w:tr>
        <w:tc>
          <w:tcPr>
            <w:tcW w:w="5500" w:type="dxa"/>
            <w:shd w:val="clear" w:color="auto" w:fill="D9EAF7"/>
          </w:tcPr>
          <w:p>
            <w:pPr>
              <w:spacing w:after="40"/>
            </w:pPr>
            <w:r>
              <w:rPr>
                <w:b/>
              </w:rPr>
              <w:t>Measure</w:t>
            </w:r>
          </w:p>
        </w:tc>
        <w:tc>
          <w:tcPr>
            <w:tcW w:w="3500" w:type="dxa"/>
            <w:shd w:val="clear" w:color="auto" w:fill="D9EAF7"/>
          </w:tcPr>
          <w:p>
            <w:pPr>
              <w:spacing w:after="40"/>
            </w:pPr>
            <w:r>
              <w:rPr>
                <w:b/>
              </w:rPr>
              <w:t>Amount</w:t>
            </w:r>
          </w:p>
        </w:tc>
      </w:tr>
      <w:tr>
        <w:tc>
          <w:tcPr>
            <w:tcW w:w="5500" w:type="dxa"/>
          </w:tcPr>
          <w:p>
            <w:pPr>
              <w:spacing w:after="40"/>
            </w:pPr>
            <w:r>
              <w:t>Total invoiced</w:t>
            </w:r>
          </w:p>
        </w:tc>
        <w:tc>
          <w:tcPr>
            <w:tcW w:w="3500" w:type="dxa"/>
          </w:tcPr>
          <w:p>
            <w:pPr>
              <w:spacing w:after="40"/>
            </w:pPr>
            <w:r>
              <w:t>EUR 1,850.00</w:t>
            </w:r>
          </w:p>
        </w:tc>
      </w:tr>
      <w:tr>
        <w:tc>
          <w:tcPr>
            <w:tcW w:w="5500" w:type="dxa"/>
          </w:tcPr>
          <w:p>
            <w:pPr>
              <w:spacing w:after="40"/>
            </w:pPr>
            <w:r>
              <w:t>Paid</w:t>
            </w:r>
          </w:p>
        </w:tc>
        <w:tc>
          <w:tcPr>
            <w:tcW w:w="3500" w:type="dxa"/>
          </w:tcPr>
          <w:p>
            <w:pPr>
              <w:spacing w:after="40"/>
            </w:pPr>
            <w:r>
              <w:t>EUR 785.50</w:t>
            </w:r>
          </w:p>
        </w:tc>
      </w:tr>
      <w:tr>
        <w:tc>
          <w:tcPr>
            <w:tcW w:w="5500" w:type="dxa"/>
          </w:tcPr>
          <w:p>
            <w:pPr>
              <w:spacing w:after="40"/>
            </w:pPr>
            <w:r>
              <w:t>Unpaid</w:t>
            </w:r>
          </w:p>
        </w:tc>
        <w:tc>
          <w:tcPr>
            <w:tcW w:w="3500" w:type="dxa"/>
          </w:tcPr>
          <w:p>
            <w:pPr>
              <w:spacing w:after="40"/>
            </w:pPr>
            <w:r>
              <w:t>EUR 1,064.50</w:t>
            </w:r>
          </w:p>
        </w:tc>
      </w:tr>
      <w:tr>
        <w:tc>
          <w:tcPr>
            <w:tcW w:w="5500" w:type="dxa"/>
          </w:tcPr>
          <w:p>
            <w:pPr>
              <w:spacing w:after="40"/>
            </w:pPr>
            <w:r>
              <w:t>Materials invoices</w:t>
            </w:r>
          </w:p>
        </w:tc>
        <w:tc>
          <w:tcPr>
            <w:tcW w:w="3500" w:type="dxa"/>
          </w:tcPr>
          <w:p>
            <w:pPr>
              <w:spacing w:after="40"/>
            </w:pPr>
            <w:r>
              <w:t>EUR 855.50</w:t>
            </w:r>
          </w:p>
        </w:tc>
      </w:tr>
    </w:tbl>
    <w:p>
      <w:pPr>
        <w:spacing w:after="0"/>
      </w:pPr>
      <w:r>
        <w:rPr>
          <w:color w:val="666666"/>
          <w:sz w:val="18"/>
          <w:szCs w:val="18"/>
        </w:rPr>
        <w:t xml:space="preserve">Note: Invoice figures are reconciled from the accompanying export. This document preparation is not financial advice.</w:t>
      </w:r>
    </w:p>
    <w:sectPr>
      <w:pgSz w:w="11906" w:h="16838"/>
      <w:pgMar w:top="1080" w:right="1080" w:bottom="1080" w:left="1080" w:header="720" w:footer="720" w:gutter="0"/>
    </w:sectPr>
  </w:body>
</w:document>
</file>

<file path=word/numbering.xml><?xml version="1.0" encoding="utf-8"?>
<w:numbering xmlns:w="http://schemas.openxmlformats.org/wordprocessingml/2006/main">
  <w:abstractNum w:abstractNumId="0">
    <w:multiLevelType w:val="singleLevel"/>
    <w:lvl w:ilvl="0">
      <w:start w:val="1"/>
      <w:numFmt w:val="bullet"/>
      <w:lvlText w:val="•"/>
      <w:lvlJc w:val="left"/>
      <w:pPr>
        <w:tabs>
          <w:tab w:val="num" w:pos="720"/>
        </w:tabs>
        <w:ind w:left="720" w:hanging="360"/>
      </w:pPr>
      <w:rPr>
        <w:rFonts w:ascii="Symbol" w:hAnsi="Symbol"/>
      </w:rPr>
    </w:lvl>
  </w:abstractNum>
  <w:num w:numId="1">
    <w:abstractNumId w:val="0"/>
  </w:num>
</w:numbering>
</file>

<file path=word/styles.xml><?xml version="1.0" encoding="utf-8"?>
<w:styles xmlns:w="http://schemas.openxmlformats.org/wordprocessingml/2006/main">
  <w:docDefaults>
    <w:rPrDefault>
      <w:rPr>
        <w:rFonts w:ascii="Aptos" w:hAnsi="Aptos"/>
        <w:sz w:val="21"/>
        <w:szCs w:val="21"/>
        <w:color w:val="222222"/>
      </w:rPr>
    </w:rPrDefault>
    <w:pPrDefault>
      <w:pPr>
        <w:spacing w:after="120" w:line="276" w:lineRule="auto"/>
      </w:pPr>
    </w:pPrDefault>
  </w:docDefaults>
  <w:style w:type="paragraph" w:default="1" w:styleId="Normal">
    <w:name w:val="Normal"/>
  </w:style>
  <w:style w:type="paragraph" w:styleId="Heading1">
    <w:name w:val="heading 1"/>
    <w:basedOn w:val="Normal"/>
    <w:next w:val="Normal"/>
    <w:qFormat/>
    <w:pPr>
      <w:keepNext/>
      <w:spacing w:before="260" w:after="100"/>
      <w:outlineLvl w:val="0"/>
    </w:pPr>
    <w:rPr>
      <w:b/>
      <w:color w:val="1F4E78"/>
      <w:sz w:val="24"/>
      <w:szCs w:val="24"/>
    </w:rPr>
  </w:style>
  <w:style w:type="paragraph" w:styleId="ListBullet">
    <w:name w:val="List Bullet"/>
    <w:basedOn w:val="Normal"/>
    <w:pPr>
      <w:numPr>
        <w:ilvl w:val="0"/>
        <w:numId w:val="1"/>
      </w:numPr>
    </w:pPr>
  </w:style>
  <w:style w:type="table" w:styleId="LightShadingAccent1">
    <w:name w:val="Light Shading Accent 1"/>
    <w:tblPr>
      <w:tblBorders>
        <w:top w:val="single" w:sz="4" w:color="B4C6E7"/>
        <w:left w:val="single" w:sz="4" w:color="B4C6E7"/>
        <w:bottom w:val="single" w:sz="4" w:color="B4C6E7"/>
        <w:right w:val="single" w:sz="4" w:color="B4C6E7"/>
        <w:insideH w:val="single" w:sz="4" w:color="D9E2F3"/>
        <w:insideV w:val="single" w:sz="4" w:color="D9E2F3"/>
      </w:tblBorders>
      <w:tblCellMar>
        <w:top w:w="90" w:type="dxa"/>
        <w:left w:w="100" w:type="dxa"/>
        <w:bottom w:w="90" w:type="dxa"/>
        <w:right w:w="100" w:type="dxa"/>
      </w:tblCellMar>
    </w:tbl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s>
</file>

<file path=docProps/app.xml><?xml version="1.0" encoding="utf-8"?>
<Properties xmlns="http://schemas.openxmlformats.org/officeDocument/2006/extended-properties" xmlns:vt="http://schemas.openxmlformats.org/officeDocument/2006/docPropsVTypes">
  <Application>PLM Nexus Demo</Application>
</Properties>
</file>

<file path=docProps/core.xml><?xml version="1.0" encoding="utf-8"?>
<cp:coreProperties xmlns:cp="http://schemas.openxmlformats.org/package/2006/metadata/core-properties" xmlns:dc="http://purl.org/dc/elements/1.1/" xmlns:dcterms="http://purl.org/dc/terms/" xmlns:xsi="http://www.w3.org/2001/XMLSchema-instance">
  <dc:title>Northstar Studio — Meeting Summary</dc:title>
  <dc:subject>Fictional PLM Nexus product demonstration</dc:subject>
  <dc:creator>PLM Nexus Demo</dc:creator>
  <cp:keywords>fictional demonstration data</cp:keywords>
  <dcterms:created xsi:type="dcterms:W3CDTF">2026-09-12T00:00:00Z</dcterms:created>
</cp:coreProperties>
</file>